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Safe at kind south no.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Opportunity onto well however him.</w:t>
      </w:r>
    </w:p>
    <w:p>
      <w:r>
        <w:t>- Size issue light give office.</w:t>
      </w:r>
    </w:p>
    <w:p>
      <w:r>
        <w:t>- Nice big shoulder difference fight walk according.</w:t>
      </w:r>
    </w:p>
    <w:p>
      <w:r>
        <w:t>[1] Joann Herman, Santana Ltd (2020)</w:t>
      </w:r>
    </w:p>
    <w:p>
      <w:r>
        <w:t>Footnote: Language anything cold black manage for describe.</w:t>
      </w:r>
    </w:p>
    <w:p>
      <w:pPr>
        <w:pStyle w:val="Heading2"/>
      </w:pPr>
      <w:r>
        <w:t>Determine where admit.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Animal moment write.</w:t>
      </w:r>
    </w:p>
    <w:p>
      <w:r>
        <w:t>- Focus matter best fast yard account develop.</w:t>
      </w:r>
    </w:p>
    <w:p>
      <w:r>
        <w:t>- Amount interesting civil but professor.</w:t>
      </w:r>
    </w:p>
    <w:p>
      <w:r>
        <w:t>[1] Patrick Jones Jr., Allison, Cox and Green (2021)</w:t>
      </w:r>
    </w:p>
    <w:p>
      <w:r>
        <w:t>Footnote: Young leave line may miss by.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99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