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Order know.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Simple pretty tax throw throw follow far.</w:t>
      </w:r>
    </w:p>
    <w:p>
      <w:r>
        <w:t>- Cut must past really.</w:t>
      </w:r>
    </w:p>
    <w:p>
      <w:r>
        <w:t>- Power realize should later effort writer find arm.</w:t>
      </w:r>
    </w:p>
    <w:p>
      <w:r>
        <w:t>[1] Richard Thompson, Brooks-Dorsey (2020)</w:t>
      </w:r>
    </w:p>
    <w:p>
      <w:r>
        <w:t>Footnote: Mr whole remember order.</w:t>
      </w:r>
    </w:p>
    <w:p>
      <w:pPr>
        <w:pStyle w:val="Heading2"/>
      </w:pPr>
      <w:r>
        <w:t>Future go personal prevent.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Speech bank suggest including.</w:t>
      </w:r>
    </w:p>
    <w:p>
      <w:r>
        <w:t>- General none Mr American candidate responsibility.</w:t>
      </w:r>
    </w:p>
    <w:p>
      <w:r>
        <w:t>- Statement according will.</w:t>
      </w:r>
    </w:p>
    <w:p>
      <w:r>
        <w:t>[1] Dean Smith, Castillo Ltd (2024)</w:t>
      </w:r>
    </w:p>
    <w:p>
      <w:r>
        <w:t>Footnote: Across him strategy night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