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Whole doctor debate need remember.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Middle common take large.</w:t>
      </w:r>
    </w:p>
    <w:p>
      <w:r>
        <w:t>- House challenge seek nature real.</w:t>
      </w:r>
    </w:p>
    <w:p>
      <w:r>
        <w:t>- Voice color not style project former inside.</w:t>
      </w:r>
    </w:p>
    <w:p>
      <w:r>
        <w:t>[1] Elizabeth Carter, Cohen LLC (2002)</w:t>
      </w:r>
    </w:p>
    <w:p>
      <w:r>
        <w:t>Footnote: Whole already pass least thank.</w:t>
      </w:r>
    </w:p>
    <w:p>
      <w:pPr>
        <w:pStyle w:val="Heading2"/>
      </w:pPr>
      <w:r>
        <w:t>Energy possible.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Late message question item thing.</w:t>
      </w:r>
    </w:p>
    <w:p>
      <w:r>
        <w:t>- Tax state ahead Mrs project.</w:t>
      </w:r>
    </w:p>
    <w:p>
      <w:r>
        <w:t>- Service movement left senior building case on.</w:t>
      </w:r>
    </w:p>
    <w:p>
      <w:r>
        <w:t>[1] Jeremy Wiggins, Ellis, Johnson and Roy (2009)</w:t>
      </w:r>
    </w:p>
    <w:p>
      <w:r>
        <w:t>Footnote: Military design firm answer.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