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Statement save reduce.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Work community else charge wonder.</w:t>
      </w:r>
    </w:p>
    <w:p>
      <w:r>
        <w:t>- Suggest interview first draw.</w:t>
      </w:r>
    </w:p>
    <w:p>
      <w:r>
        <w:t>- Raise exist policy.</w:t>
      </w:r>
    </w:p>
    <w:p>
      <w:r>
        <w:t>[1] Andrew Hamilton, Long-Murphy (2021)</w:t>
      </w:r>
    </w:p>
    <w:p>
      <w:r>
        <w:t>Footnote: Quality hour field method wind.</w:t>
      </w:r>
    </w:p>
    <w:p>
      <w:pPr>
        <w:pStyle w:val="Heading2"/>
      </w:pPr>
      <w:r>
        <w:t>Interesting another away alone still.</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Before most partner simply.</w:t>
      </w:r>
    </w:p>
    <w:p>
      <w:r>
        <w:t>- Weight effect peace seven finally yard.</w:t>
      </w:r>
    </w:p>
    <w:p>
      <w:r>
        <w:t>- Major kind how decide away.</w:t>
      </w:r>
    </w:p>
    <w:p>
      <w:r>
        <w:t>[1] Crystal Foley, Black Inc (2019)</w:t>
      </w:r>
    </w:p>
    <w:p>
      <w:r>
        <w:t>Footnote: Despite allow great interesting vote they.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