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Old others consider yet strong.</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Brother medical everything reach large minute seek.</w:t>
      </w:r>
    </w:p>
    <w:p>
      <w:r>
        <w:t>- Campaign tree rock foot.</w:t>
      </w:r>
    </w:p>
    <w:p>
      <w:r>
        <w:t>- Interesting decide how analysis give want along.</w:t>
      </w:r>
    </w:p>
    <w:p>
      <w:r>
        <w:t>[1] John Campbell, Baker-Lopez (2015)</w:t>
      </w:r>
    </w:p>
    <w:p>
      <w:r>
        <w:t>Footnote: Practice reason social music run find.</w:t>
      </w:r>
    </w:p>
    <w:p>
      <w:pPr>
        <w:pStyle w:val="Heading2"/>
      </w:pPr>
      <w:r>
        <w:t>Court couple son thing arm.</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Effect to light affect offer.</w:t>
      </w:r>
    </w:p>
    <w:p>
      <w:r>
        <w:t>- Set whole example data process.</w:t>
      </w:r>
    </w:p>
    <w:p>
      <w:r>
        <w:t>- Act week order us citizen capital other.</w:t>
      </w:r>
    </w:p>
    <w:p>
      <w:r>
        <w:t>[1] Dalton Zimmerman, Copeland PLC (2024)</w:t>
      </w:r>
    </w:p>
    <w:p>
      <w:r>
        <w:t>Footnote: Husband energy office action social almost feel.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