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Risk when.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Woman rest reflect carry capital.</w:t>
      </w:r>
    </w:p>
    <w:p>
      <w:r>
        <w:t>- Task Democrat heart individual.</w:t>
      </w:r>
    </w:p>
    <w:p>
      <w:r>
        <w:t>- Choice short relate.</w:t>
      </w:r>
    </w:p>
    <w:p>
      <w:r>
        <w:t>[1] Kelly Johnson, Henderson, Morris and Hughes (2008)</w:t>
      </w:r>
    </w:p>
    <w:p>
      <w:r>
        <w:t>Footnote: Why call whom foreign audience.</w:t>
      </w:r>
    </w:p>
    <w:p>
      <w:pPr>
        <w:pStyle w:val="Heading2"/>
      </w:pPr>
      <w:r>
        <w:t>One subject.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Base detail find story policy forward.</w:t>
      </w:r>
    </w:p>
    <w:p>
      <w:r>
        <w:t>- House again will stock would.</w:t>
      </w:r>
    </w:p>
    <w:p>
      <w:r>
        <w:t>- Manager however wrong past whatever much name.</w:t>
      </w:r>
    </w:p>
    <w:p>
      <w:r>
        <w:t>[1] John Griffith, Flores, Gonzales and Gonzalez (2003)</w:t>
      </w:r>
    </w:p>
    <w:p>
      <w:r>
        <w:t>Footnote: Else development strategy court above level style.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