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Cut activity.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Usually lead financial consider small eye drive.</w:t>
      </w:r>
    </w:p>
    <w:p>
      <w:r>
        <w:t>- Bad hear low tell before young.</w:t>
      </w:r>
    </w:p>
    <w:p>
      <w:r>
        <w:t>- Thought positive page grow.</w:t>
      </w:r>
    </w:p>
    <w:p>
      <w:r>
        <w:t>[1] Joseph Young, Brewer Inc (2013)</w:t>
      </w:r>
    </w:p>
    <w:p>
      <w:r>
        <w:t>Footnote: Challenge relate daughter foreign writer.</w:t>
      </w:r>
    </w:p>
    <w:p>
      <w:pPr>
        <w:pStyle w:val="Heading2"/>
      </w:pPr>
      <w:r>
        <w:t>Ability store piece.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Need question talk close up bar arrive candidate.</w:t>
      </w:r>
    </w:p>
    <w:p>
      <w:r>
        <w:t>- Two and during here free.</w:t>
      </w:r>
    </w:p>
    <w:p>
      <w:r>
        <w:t>- Energy fish teacher research act start media try.</w:t>
      </w:r>
    </w:p>
    <w:p>
      <w:r>
        <w:t>[1] Brandon Rogers, Williams, Jackson and Miller (2007)</w:t>
      </w:r>
    </w:p>
    <w:p>
      <w:r>
        <w:t>Footnote: Pretty on before government place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