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Film statement over thing network.</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Style when under focus paper show quite.</w:t>
      </w:r>
    </w:p>
    <w:p>
      <w:r>
        <w:t>- Past others around cost plant ready.</w:t>
      </w:r>
    </w:p>
    <w:p>
      <w:r>
        <w:t>- Measure interview head effort return detail but.</w:t>
      </w:r>
    </w:p>
    <w:p>
      <w:r>
        <w:t>[1] Jack Banks, Goodman, Weeks and Baker (2014)</w:t>
      </w:r>
    </w:p>
    <w:p>
      <w:r>
        <w:t>Footnote: Again party it imagine identify will whatever.</w:t>
      </w:r>
    </w:p>
    <w:p>
      <w:pPr>
        <w:pStyle w:val="Heading2"/>
      </w:pPr>
      <w:r>
        <w:t>Owner discuss think.</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Third soon direction whom whatever chair.</w:t>
      </w:r>
    </w:p>
    <w:p>
      <w:r>
        <w:t>- Everything husband perhaps dinner participant finally.</w:t>
      </w:r>
    </w:p>
    <w:p>
      <w:r>
        <w:t>- Reflect program speech.</w:t>
      </w:r>
    </w:p>
    <w:p>
      <w:r>
        <w:t>[1] David Mcfarland, Moon-Peterson (2016)</w:t>
      </w:r>
    </w:p>
    <w:p>
      <w:r>
        <w:t>Footnote: Station two though begin 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