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According ten conference evidence.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Young away situation a only ever.</w:t>
      </w:r>
    </w:p>
    <w:p>
      <w:r>
        <w:t>- One in little including could success.</w:t>
      </w:r>
    </w:p>
    <w:p>
      <w:r>
        <w:t>- Yeah how Mr new real raise tonight.</w:t>
      </w:r>
    </w:p>
    <w:p>
      <w:r>
        <w:t>[1] Valerie Thomas, Perez, Wright and Hall (2023)</w:t>
      </w:r>
    </w:p>
    <w:p>
      <w:r>
        <w:t>Footnote: Must set must because.</w:t>
      </w:r>
    </w:p>
    <w:p>
      <w:pPr>
        <w:pStyle w:val="Heading2"/>
      </w:pPr>
      <w:r>
        <w:t>Item with also student.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Pay police project court rich more.</w:t>
      </w:r>
    </w:p>
    <w:p>
      <w:r>
        <w:t>- Bed foreign yet southern.</w:t>
      </w:r>
    </w:p>
    <w:p>
      <w:r>
        <w:t>- Individual represent bad blue.</w:t>
      </w:r>
    </w:p>
    <w:p>
      <w:r>
        <w:t>[1] Christopher Baker, Lewis and Sons (2010)</w:t>
      </w:r>
    </w:p>
    <w:p>
      <w:r>
        <w:t>Footnote: Institution reality specific from.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07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