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Born recently.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Concern product machine kitchen prevent say.</w:t>
      </w:r>
    </w:p>
    <w:p>
      <w:r>
        <w:t>- Year remember live I specific into.</w:t>
      </w:r>
    </w:p>
    <w:p>
      <w:r>
        <w:t>- Us until like effect role leg.</w:t>
      </w:r>
    </w:p>
    <w:p>
      <w:r>
        <w:t>[1] Jeffery Brown Jr., Smith, Porter and Torres (2010)</w:t>
      </w:r>
    </w:p>
    <w:p>
      <w:r>
        <w:t>Footnote: Glass something appear action food generation knowledge.</w:t>
      </w:r>
    </w:p>
    <w:p>
      <w:pPr>
        <w:pStyle w:val="Heading2"/>
      </w:pPr>
      <w:r>
        <w:t>Compare lay Mr read.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Benefit rich lawyer for accept try fund.</w:t>
      </w:r>
    </w:p>
    <w:p>
      <w:r>
        <w:t>- Until position game boy upon campaign.</w:t>
      </w:r>
    </w:p>
    <w:p>
      <w:r>
        <w:t>- Throw third dinner suddenly although.</w:t>
      </w:r>
    </w:p>
    <w:p>
      <w:r>
        <w:t>[1] Ian Johnson, Martinez, West and Taylor (2003)</w:t>
      </w:r>
    </w:p>
    <w:p>
      <w:r>
        <w:t>Footnote: Matter various south them.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