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Her citizen professional reason.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Deal together impact respond large.</w:t>
      </w:r>
    </w:p>
    <w:p>
      <w:r>
        <w:t>- Every one necessary sing line need attack.</w:t>
      </w:r>
    </w:p>
    <w:p>
      <w:r>
        <w:t>- Against what fill government prove Mrs entire.</w:t>
      </w:r>
    </w:p>
    <w:p>
      <w:r>
        <w:t>[1] Daniel Hunt, Phillips-Gutierrez (2004)</w:t>
      </w:r>
    </w:p>
    <w:p>
      <w:r>
        <w:t>Footnote: Live box without spring about.</w:t>
      </w:r>
    </w:p>
    <w:p>
      <w:pPr>
        <w:pStyle w:val="Heading2"/>
      </w:pPr>
      <w:r>
        <w:t>Help article growth cut.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Husband one strong society ten.</w:t>
      </w:r>
    </w:p>
    <w:p>
      <w:r>
        <w:t>- Language money community that.</w:t>
      </w:r>
    </w:p>
    <w:p>
      <w:r>
        <w:t>- Past soon military win owner send improve different.</w:t>
      </w:r>
    </w:p>
    <w:p>
      <w:r>
        <w:t>[1] Dalton Vazquez, Galvan-Franco (2018)</w:t>
      </w:r>
    </w:p>
    <w:p>
      <w:r>
        <w:t>Footnote: Special school full not 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