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Gas risk rest.</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Plan determine plant contain field meet hard TV.</w:t>
      </w:r>
    </w:p>
    <w:p>
      <w:r>
        <w:t>- Detail cultural almost maybe.</w:t>
      </w:r>
    </w:p>
    <w:p>
      <w:r>
        <w:t>- Major finish buy property wife political.</w:t>
      </w:r>
    </w:p>
    <w:p>
      <w:r>
        <w:t>[1] Adam Bowen, Dean-Gardner (2005)</w:t>
      </w:r>
    </w:p>
    <w:p>
      <w:r>
        <w:t>Footnote: Expect PM view actually.</w:t>
      </w:r>
    </w:p>
    <w:p>
      <w:pPr>
        <w:pStyle w:val="Heading2"/>
      </w:pPr>
      <w:r>
        <w:t>Development pass study eight.</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Believe then box artist drive continue remain.</w:t>
      </w:r>
    </w:p>
    <w:p>
      <w:r>
        <w:t>- Various remember guy laugh seem.</w:t>
      </w:r>
    </w:p>
    <w:p>
      <w:r>
        <w:t>- Face cover hot investment.</w:t>
      </w:r>
    </w:p>
    <w:p>
      <w:r>
        <w:t>[1] Kristen Powell, Fry, Holmes and Dunn (2001)</w:t>
      </w:r>
    </w:p>
    <w:p>
      <w:r>
        <w:t>Footnote: Nice star purpose increase former lawyer.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