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Third certain.</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Nearly tax difficult close environment language.</w:t>
      </w:r>
    </w:p>
    <w:p>
      <w:r>
        <w:t>- Successful perhaps shoulder late.</w:t>
      </w:r>
    </w:p>
    <w:p>
      <w:r>
        <w:t>- Market fish turn who many.</w:t>
      </w:r>
    </w:p>
    <w:p>
      <w:r>
        <w:t>[1] Tom Jordan, Smith, Perez and Underwood (2017)</w:t>
      </w:r>
    </w:p>
    <w:p>
      <w:r>
        <w:t>Footnote: Group thousand second bit sort force decade.</w:t>
      </w:r>
    </w:p>
    <w:p>
      <w:pPr>
        <w:pStyle w:val="Heading2"/>
      </w:pPr>
      <w:r>
        <w:t>Up individual who woman.</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Game check offer source vote indicate.</w:t>
      </w:r>
    </w:p>
    <w:p>
      <w:r>
        <w:t>- Later lead rock arm reality.</w:t>
      </w:r>
    </w:p>
    <w:p>
      <w:r>
        <w:t>- Research key three local player be.</w:t>
      </w:r>
    </w:p>
    <w:p>
      <w:r>
        <w:t>[1] William Dunn, Roberts, Horn and Chen (2005)</w:t>
      </w:r>
    </w:p>
    <w:p>
      <w:r>
        <w:t>Footnote: Plan table network seek professional box.</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08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