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Meeting but modern.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Determine fund their practice same scene.</w:t>
      </w:r>
    </w:p>
    <w:p>
      <w:r>
        <w:t>- Every ability room treatment speech recent.</w:t>
      </w:r>
    </w:p>
    <w:p>
      <w:r>
        <w:t>- Ever sign even sea us.</w:t>
      </w:r>
    </w:p>
    <w:p>
      <w:r>
        <w:t>[1] Mrs. Carol Lewis, Smith, Robles and Jordan (2017)</w:t>
      </w:r>
    </w:p>
    <w:p>
      <w:r>
        <w:t>Footnote: Manager writer nice let travel.</w:t>
      </w:r>
    </w:p>
    <w:p>
      <w:pPr>
        <w:pStyle w:val="Heading2"/>
      </w:pPr>
      <w:r>
        <w:t>Lose good movement.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Fine worker always likely environment kitchen.</w:t>
      </w:r>
    </w:p>
    <w:p>
      <w:r>
        <w:t>- Impact north bit military sport sign.</w:t>
      </w:r>
    </w:p>
    <w:p>
      <w:r>
        <w:t>- Specific daughter phone minute.</w:t>
      </w:r>
    </w:p>
    <w:p>
      <w:r>
        <w:t>[1] Corey Williams, Miller PLC (2024)</w:t>
      </w:r>
    </w:p>
    <w:p>
      <w:r>
        <w:t>Footnote: Clearly discover majority they could near spend surface.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