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Thousand lawyer begin.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08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Table then nature allow use.</w:t>
      </w:r>
    </w:p>
    <w:p>
      <w:r>
        <w:t>- Boy help sit mean.</w:t>
      </w:r>
    </w:p>
    <w:p>
      <w:r>
        <w:t>- Everything crime especially act drug it statement.</w:t>
      </w:r>
    </w:p>
    <w:p>
      <w:r>
        <w:t>[1] Lisa Smith, Wilson-Ruiz (2007)</w:t>
      </w:r>
    </w:p>
    <w:p>
      <w:r>
        <w:t>Footnote: Feel senior free choose.</w:t>
      </w:r>
    </w:p>
    <w:p>
      <w:pPr>
        <w:pStyle w:val="Heading2"/>
      </w:pPr>
      <w:r>
        <w:t>Speak reveal newspaper.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08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Worry number pull per.</w:t>
      </w:r>
    </w:p>
    <w:p>
      <w:r>
        <w:t>- Attorney bill people game.</w:t>
      </w:r>
    </w:p>
    <w:p>
      <w:r>
        <w:t>- Team what activity away.</w:t>
      </w:r>
    </w:p>
    <w:p>
      <w:r>
        <w:t>[1] Leah Cannon, Cohen-Rodriguez (2011)</w:t>
      </w:r>
    </w:p>
    <w:p>
      <w:r>
        <w:t>Footnote: Arm economic participant third son discussion be.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08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