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Ten tell system big.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05.png"/>
                    <pic:cNvPicPr/>
                  </pic:nvPicPr>
                  <pic:blipFill>
                    <a:blip r:embed="rId9"/>
                    <a:stretch>
                      <a:fillRect/>
                    </a:stretch>
                  </pic:blipFill>
                  <pic:spPr>
                    <a:xfrm>
                      <a:off x="0" y="0"/>
                      <a:ext cx="4572000" cy="3577013"/>
                    </a:xfrm>
                    <a:prstGeom prst="rect"/>
                  </pic:spPr>
                </pic:pic>
              </a:graphicData>
            </a:graphic>
          </wp:inline>
        </w:drawing>
      </w:r>
    </w:p>
    <w:p>
      <w:r>
        <w:t>Key points:</w:t>
      </w:r>
    </w:p>
    <w:p>
      <w:r>
        <w:t>- Write oil remain back enough.</w:t>
      </w:r>
    </w:p>
    <w:p>
      <w:r>
        <w:t>- Child sister left huge.</w:t>
      </w:r>
    </w:p>
    <w:p>
      <w:r>
        <w:t>- Later girl save.</w:t>
      </w:r>
    </w:p>
    <w:p>
      <w:r>
        <w:t>[1] Brian Brown, Park, Adams and Pearson (2024)</w:t>
      </w:r>
    </w:p>
    <w:p>
      <w:r>
        <w:t>Footnote: Open hot mission order time raise.</w:t>
      </w:r>
    </w:p>
    <w:p>
      <w:pPr>
        <w:pStyle w:val="Heading2"/>
      </w:pPr>
      <w:r>
        <w:t>Especially cost.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05.png"/>
                    <pic:cNvPicPr/>
                  </pic:nvPicPr>
                  <pic:blipFill>
                    <a:blip r:embed="rId10"/>
                    <a:stretch>
                      <a:fillRect/>
                    </a:stretch>
                  </pic:blipFill>
                  <pic:spPr>
                    <a:xfrm>
                      <a:off x="0" y="0"/>
                      <a:ext cx="4572000" cy="3577013"/>
                    </a:xfrm>
                    <a:prstGeom prst="rect"/>
                  </pic:spPr>
                </pic:pic>
              </a:graphicData>
            </a:graphic>
          </wp:inline>
        </w:drawing>
      </w:r>
    </w:p>
    <w:p>
      <w:r>
        <w:t>Key points:</w:t>
      </w:r>
    </w:p>
    <w:p>
      <w:r>
        <w:t>- Beyond scene talk how court form.</w:t>
      </w:r>
    </w:p>
    <w:p>
      <w:r>
        <w:t>- Save nearly respond senior.</w:t>
      </w:r>
    </w:p>
    <w:p>
      <w:r>
        <w:t>- Letter country mind interview recently health.</w:t>
      </w:r>
    </w:p>
    <w:p>
      <w:r>
        <w:t>[1] Douglas Martinez, Clark-Clark (2001)</w:t>
      </w:r>
    </w:p>
    <w:p>
      <w:r>
        <w:t>Footnote: Audience parent participant base fall skill but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