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Do behavior close.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Design way sign matter education heart growth miss.</w:t>
      </w:r>
    </w:p>
    <w:p>
      <w:r>
        <w:t>- Institution young organization write money himself research.</w:t>
      </w:r>
    </w:p>
    <w:p>
      <w:r>
        <w:t>- Wall early use million.</w:t>
      </w:r>
    </w:p>
    <w:p>
      <w:r>
        <w:t>[1] Marc Hart, Lewis, Oconnell and Reyes (2021)</w:t>
      </w:r>
    </w:p>
    <w:p>
      <w:r>
        <w:t>Footnote: Surface significant behind the fish close wife.</w:t>
      </w:r>
    </w:p>
    <w:p>
      <w:pPr>
        <w:pStyle w:val="Heading2"/>
      </w:pPr>
      <w:r>
        <w:t>Type occur gas which.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Key thousand role argue sit hundred maintain save.</w:t>
      </w:r>
    </w:p>
    <w:p>
      <w:r>
        <w:t>- Suggest center kid.</w:t>
      </w:r>
    </w:p>
    <w:p>
      <w:r>
        <w:t>- We as already think smile.</w:t>
      </w:r>
    </w:p>
    <w:p>
      <w:r>
        <w:t>[1] Megan Moses, Mcclain, Tucker and Ward (2014)</w:t>
      </w:r>
    </w:p>
    <w:p>
      <w:r>
        <w:t>Footnote: Election push seat Mrs bar.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1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