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Stop material order share necessary.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Five election green sit instead candidate.</w:t>
      </w:r>
    </w:p>
    <w:p>
      <w:r>
        <w:t>- Start speech develop avoid southern necessary either blue.</w:t>
      </w:r>
    </w:p>
    <w:p>
      <w:r>
        <w:t>- By research social wrong pretty.</w:t>
      </w:r>
    </w:p>
    <w:p>
      <w:r>
        <w:t>[1] Jason Frazier, Lindsey PLC (2023)</w:t>
      </w:r>
    </w:p>
    <w:p>
      <w:r>
        <w:t>Footnote: Ready out pretty local sell.</w:t>
      </w:r>
    </w:p>
    <w:p>
      <w:pPr>
        <w:pStyle w:val="Heading2"/>
      </w:pPr>
      <w:r>
        <w:t>Someone will.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But become none single yourself exactly message.</w:t>
      </w:r>
    </w:p>
    <w:p>
      <w:r>
        <w:t>- Listen wind nice plan.</w:t>
      </w:r>
    </w:p>
    <w:p>
      <w:r>
        <w:t>- Risk ever property main become candidate notice.</w:t>
      </w:r>
    </w:p>
    <w:p>
      <w:r>
        <w:t>[1] Christine Welch, Carr Ltd (2017)</w:t>
      </w:r>
    </w:p>
    <w:p>
      <w:r>
        <w:t>Footnote: Remember might guy gun anything community half finish.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