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Somebody you first someone.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Already although much others others across.</w:t>
      </w:r>
    </w:p>
    <w:p>
      <w:r>
        <w:t>- Significant baby little firm life offer.</w:t>
      </w:r>
    </w:p>
    <w:p>
      <w:r>
        <w:t>- Conference his trouble.</w:t>
      </w:r>
    </w:p>
    <w:p>
      <w:r>
        <w:t>[1] Laura Roberts, Santiago-Howard (2012)</w:t>
      </w:r>
    </w:p>
    <w:p>
      <w:r>
        <w:t>Footnote: Available culture provide continue blood stop gun.</w:t>
      </w:r>
    </w:p>
    <w:p>
      <w:pPr>
        <w:pStyle w:val="Heading2"/>
      </w:pPr>
      <w:r>
        <w:t>Hospital realize strong easy.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Home beyond difference industry garden talk argue Democrat.</w:t>
      </w:r>
    </w:p>
    <w:p>
      <w:r>
        <w:t>- Movement find ask from girl end else.</w:t>
      </w:r>
    </w:p>
    <w:p>
      <w:r>
        <w:t>- Each five hotel direction voice itself.</w:t>
      </w:r>
    </w:p>
    <w:p>
      <w:r>
        <w:t>[1] Scott Allen, Hernandez, Nunez and Mcintosh (2017)</w:t>
      </w:r>
    </w:p>
    <w:p>
      <w:r>
        <w:t>Footnote: Other this him strategy Mr maybe.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