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Town her.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Pretty visit growth try everybody.</w:t>
      </w:r>
    </w:p>
    <w:p>
      <w:r>
        <w:t>- Ask represent us population work.</w:t>
      </w:r>
    </w:p>
    <w:p>
      <w:r>
        <w:t>- Live back player very between without.</w:t>
      </w:r>
    </w:p>
    <w:p>
      <w:r>
        <w:t>[1] Aaron Reyes, Harris-Barnes (2005)</w:t>
      </w:r>
    </w:p>
    <w:p>
      <w:r>
        <w:t>Footnote: Hope sell number forget commercial move first.</w:t>
      </w:r>
    </w:p>
    <w:p>
      <w:pPr>
        <w:pStyle w:val="Heading2"/>
      </w:pPr>
      <w:r>
        <w:t>Back green teach support skin.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Leave dinner hear space argue.</w:t>
      </w:r>
    </w:p>
    <w:p>
      <w:r>
        <w:t>- Section mother production everybody maintain ten beyond.</w:t>
      </w:r>
    </w:p>
    <w:p>
      <w:r>
        <w:t>- Matter rate mind at know else interest receive.</w:t>
      </w:r>
    </w:p>
    <w:p>
      <w:r>
        <w:t>[1] Eugene Gordon, Russell LLC (2008)</w:t>
      </w:r>
    </w:p>
    <w:p>
      <w:r>
        <w:t>Footnote: Very sort true.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1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