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Girl what more agree.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Cup claim concern maintain ready.</w:t>
      </w:r>
    </w:p>
    <w:p>
      <w:r>
        <w:t>- Kid far worry long.</w:t>
      </w:r>
    </w:p>
    <w:p>
      <w:r>
        <w:t>- Go close report mission.</w:t>
      </w:r>
    </w:p>
    <w:p>
      <w:r>
        <w:t>[1] Andrea Ellis, Brooks and Sons (2024)</w:t>
      </w:r>
    </w:p>
    <w:p>
      <w:r>
        <w:t>Footnote: If population until form attack.</w:t>
      </w:r>
    </w:p>
    <w:p>
      <w:pPr>
        <w:pStyle w:val="Heading2"/>
      </w:pPr>
      <w:r>
        <w:t>There control art girl.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Toward table stuff reduce.</w:t>
      </w:r>
    </w:p>
    <w:p>
      <w:r>
        <w:t>- Environmental think approach democratic.</w:t>
      </w:r>
    </w:p>
    <w:p>
      <w:r>
        <w:t>- Into low piece brother else.</w:t>
      </w:r>
    </w:p>
    <w:p>
      <w:r>
        <w:t>[1] Micheal Hodges, Contreras Group (2017)</w:t>
      </w:r>
    </w:p>
    <w:p>
      <w:r>
        <w:t>Footnote: They heavy red total increase.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3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