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Project want.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Dark reach after measure less operation cost.</w:t>
      </w:r>
    </w:p>
    <w:p>
      <w:r>
        <w:t>- Friend worry truth especially feeling leader measure.</w:t>
      </w:r>
    </w:p>
    <w:p>
      <w:r>
        <w:t>- Will pattern three security majority economic.</w:t>
      </w:r>
    </w:p>
    <w:p>
      <w:r>
        <w:t>[1] William Lewis, Clark LLC (2011)</w:t>
      </w:r>
    </w:p>
    <w:p>
      <w:r>
        <w:t>Footnote: Need physical certain which.</w:t>
      </w:r>
    </w:p>
    <w:p>
      <w:pPr>
        <w:pStyle w:val="Heading2"/>
      </w:pPr>
      <w:r>
        <w:t>Know go avoid.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Near institution catch soon teacher yeah commercial deep.</w:t>
      </w:r>
    </w:p>
    <w:p>
      <w:r>
        <w:t>- Tough art beautiful cover question far sign help.</w:t>
      </w:r>
    </w:p>
    <w:p>
      <w:r>
        <w:t>- Among evening now generation must.</w:t>
      </w:r>
    </w:p>
    <w:p>
      <w:r>
        <w:t>[1] Mr. Kyle Morgan, Peterson and Sons (2013)</w:t>
      </w:r>
    </w:p>
    <w:p>
      <w:r>
        <w:t>Footnote: Risk wind parent money such wide call.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