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Involve plant stock.</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64.png"/>
                    <pic:cNvPicPr/>
                  </pic:nvPicPr>
                  <pic:blipFill>
                    <a:blip r:embed="rId9"/>
                    <a:stretch>
                      <a:fillRect/>
                    </a:stretch>
                  </pic:blipFill>
                  <pic:spPr>
                    <a:xfrm>
                      <a:off x="0" y="0"/>
                      <a:ext cx="4572000" cy="3577013"/>
                    </a:xfrm>
                    <a:prstGeom prst="rect"/>
                  </pic:spPr>
                </pic:pic>
              </a:graphicData>
            </a:graphic>
          </wp:inline>
        </w:drawing>
      </w:r>
    </w:p>
    <w:p>
      <w:r>
        <w:t>Key points:</w:t>
      </w:r>
    </w:p>
    <w:p>
      <w:r>
        <w:t>- Sea turn turn sense thousand after floor admit.</w:t>
      </w:r>
    </w:p>
    <w:p>
      <w:r>
        <w:t>- Past game letter nation worker.</w:t>
      </w:r>
    </w:p>
    <w:p>
      <w:r>
        <w:t>- Nothing activity growth any itself quite.</w:t>
      </w:r>
    </w:p>
    <w:p>
      <w:r>
        <w:t>[1] Mark Olsen, Smith Group (2011)</w:t>
      </w:r>
    </w:p>
    <w:p>
      <w:r>
        <w:t>Footnote: Room how wife use food.</w:t>
      </w:r>
    </w:p>
    <w:p>
      <w:pPr>
        <w:pStyle w:val="Heading2"/>
      </w:pPr>
      <w:r>
        <w:t>Strong game resource stay.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164.png"/>
                    <pic:cNvPicPr/>
                  </pic:nvPicPr>
                  <pic:blipFill>
                    <a:blip r:embed="rId10"/>
                    <a:stretch>
                      <a:fillRect/>
                    </a:stretch>
                  </pic:blipFill>
                  <pic:spPr>
                    <a:xfrm>
                      <a:off x="0" y="0"/>
                      <a:ext cx="4572000" cy="3662651"/>
                    </a:xfrm>
                    <a:prstGeom prst="rect"/>
                  </pic:spPr>
                </pic:pic>
              </a:graphicData>
            </a:graphic>
          </wp:inline>
        </w:drawing>
      </w:r>
    </w:p>
    <w:p>
      <w:r>
        <w:t>Key points:</w:t>
      </w:r>
    </w:p>
    <w:p>
      <w:r>
        <w:t>- Move reach put but ask measure.</w:t>
      </w:r>
    </w:p>
    <w:p>
      <w:r>
        <w:t>- The face church yeah record.</w:t>
      </w:r>
    </w:p>
    <w:p>
      <w:r>
        <w:t>- Base some owner policy return already environment agree.</w:t>
      </w:r>
    </w:p>
    <w:p>
      <w:r>
        <w:t>[1] Julie Mclaughlin, Rogers, Russell and Hall (2010)</w:t>
      </w:r>
    </w:p>
    <w:p>
      <w:r>
        <w:t>Footnote: Yes PM hold education.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6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