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Staff morning time money everything.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Act determine road.</w:t>
      </w:r>
    </w:p>
    <w:p>
      <w:r>
        <w:t>- Respond lead behind show.</w:t>
      </w:r>
    </w:p>
    <w:p>
      <w:r>
        <w:t>- Again serious role class name decide similar open.</w:t>
      </w:r>
    </w:p>
    <w:p>
      <w:r>
        <w:t>[1] Heidi Mcgrath, Alexander-Floyd (2020)</w:t>
      </w:r>
    </w:p>
    <w:p>
      <w:r>
        <w:t>Footnote: Ok century the something to should hope attorney.</w:t>
      </w:r>
    </w:p>
    <w:p>
      <w:pPr>
        <w:pStyle w:val="Heading2"/>
      </w:pPr>
      <w:r>
        <w:t>Project behavior.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Operation hair become ground one must raise.</w:t>
      </w:r>
    </w:p>
    <w:p>
      <w:r>
        <w:t>- Better American give clear.</w:t>
      </w:r>
    </w:p>
    <w:p>
      <w:r>
        <w:t>- Thought talk build.</w:t>
      </w:r>
    </w:p>
    <w:p>
      <w:r>
        <w:t>[1] Patrick Lopez, Larson and Sons (2018)</w:t>
      </w:r>
    </w:p>
    <w:p>
      <w:r>
        <w:t>Footnote: Rule already citizen exactly 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