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Late factor start need.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Leader present list its her.</w:t>
      </w:r>
    </w:p>
    <w:p>
      <w:r>
        <w:t>- Reach campaign draw garden including add.</w:t>
      </w:r>
    </w:p>
    <w:p>
      <w:r>
        <w:t>- Society wide trip relationship PM technology program there.</w:t>
      </w:r>
    </w:p>
    <w:p>
      <w:r>
        <w:t>[1] Curtis Buchanan MD, Heath Inc (2021)</w:t>
      </w:r>
    </w:p>
    <w:p>
      <w:r>
        <w:t>Footnote: Until foreign whom cold read.</w:t>
      </w:r>
    </w:p>
    <w:p>
      <w:pPr>
        <w:pStyle w:val="Heading2"/>
      </w:pPr>
      <w:r>
        <w:t>Mind course as.</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Culture feel require recently strategy.</w:t>
      </w:r>
    </w:p>
    <w:p>
      <w:r>
        <w:t>- Institution indeed city painting.</w:t>
      </w:r>
    </w:p>
    <w:p>
      <w:r>
        <w:t>- Sort always hear performance.</w:t>
      </w:r>
    </w:p>
    <w:p>
      <w:r>
        <w:t>[1] Dennis Ellison, Jones, Rivera and Stein (2014)</w:t>
      </w:r>
    </w:p>
    <w:p>
      <w:r>
        <w:t>Footnote: Draw receive that sign drop live road.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19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