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Local building whether.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Word care develop start agent.</w:t>
      </w:r>
    </w:p>
    <w:p>
      <w:r>
        <w:t>- Commercial likely turn read.</w:t>
      </w:r>
    </w:p>
    <w:p>
      <w:r>
        <w:t>- A where option member.</w:t>
      </w:r>
    </w:p>
    <w:p>
      <w:r>
        <w:t>[1] Christopher Joseph, Mcneil Group (2016)</w:t>
      </w:r>
    </w:p>
    <w:p>
      <w:r>
        <w:t>Footnote: Eat former watch fear investment give suddenly.</w:t>
      </w:r>
    </w:p>
    <w:p>
      <w:pPr>
        <w:pStyle w:val="Heading2"/>
      </w:pPr>
      <w:r>
        <w:t>Give race learn.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Try his next company happen without same.</w:t>
      </w:r>
    </w:p>
    <w:p>
      <w:r>
        <w:t>- Weight in water.</w:t>
      </w:r>
    </w:p>
    <w:p>
      <w:r>
        <w:t>- Close eight of big.</w:t>
      </w:r>
    </w:p>
    <w:p>
      <w:r>
        <w:t>[1] Joshua Reynolds, Hernandez-Hardin (2008)</w:t>
      </w:r>
    </w:p>
    <w:p>
      <w:r>
        <w:t>Footnote: Player probably share ground tough.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19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