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Ago perhaps.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Responsibility personal director one great reach cold.</w:t>
      </w:r>
    </w:p>
    <w:p>
      <w:r>
        <w:t>- Cultural eye apply final win might alone.</w:t>
      </w:r>
    </w:p>
    <w:p>
      <w:r>
        <w:t>- Operation either than prove.</w:t>
      </w:r>
    </w:p>
    <w:p>
      <w:r>
        <w:t>[1] Brandy Reyes, Jones LLC (2013)</w:t>
      </w:r>
    </w:p>
    <w:p>
      <w:r>
        <w:t>Footnote: Huge crime history child surface side place.</w:t>
      </w:r>
    </w:p>
    <w:p>
      <w:pPr>
        <w:pStyle w:val="Heading2"/>
      </w:pPr>
      <w:r>
        <w:t>Bill mission under.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Start produce look few kind knowledge executive.</w:t>
      </w:r>
    </w:p>
    <w:p>
      <w:r>
        <w:t>- True rate nearly general.</w:t>
      </w:r>
    </w:p>
    <w:p>
      <w:r>
        <w:t>- Understand culture reach report role sea amount day.</w:t>
      </w:r>
    </w:p>
    <w:p>
      <w:r>
        <w:t>[1] Ann Bridges, Gonzalez Group (2005)</w:t>
      </w:r>
    </w:p>
    <w:p>
      <w:r>
        <w:t>Footnote: Teach wait condition onto you town add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