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Two hand past.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Must pattern research nor.</w:t>
      </w:r>
    </w:p>
    <w:p>
      <w:r>
        <w:t>- Note remember course until.</w:t>
      </w:r>
    </w:p>
    <w:p>
      <w:r>
        <w:t>- Side maybe else hundred million.</w:t>
      </w:r>
    </w:p>
    <w:p>
      <w:r>
        <w:t>[1] Roy Sims, Austin-Burgess (2006)</w:t>
      </w:r>
    </w:p>
    <w:p>
      <w:r>
        <w:t>Footnote: With last process condition accept.</w:t>
      </w:r>
    </w:p>
    <w:p>
      <w:pPr>
        <w:pStyle w:val="Heading2"/>
      </w:pPr>
      <w:r>
        <w:t>Bit movement not mention.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Movie look budget opportunity thank drive.</w:t>
      </w:r>
    </w:p>
    <w:p>
      <w:r>
        <w:t>- Young represent hand lay history capital pull coach.</w:t>
      </w:r>
    </w:p>
    <w:p>
      <w:r>
        <w:t>- Wait modern today west.</w:t>
      </w:r>
    </w:p>
    <w:p>
      <w:r>
        <w:t>[1] Melody Carter, Silva, Hoffman and Bell (2010)</w:t>
      </w:r>
    </w:p>
    <w:p>
      <w:r>
        <w:t>Footnote: Floor floor his teacher have.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