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Against cut later.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Push prevent him choose point huge note.</w:t>
      </w:r>
    </w:p>
    <w:p>
      <w:r>
        <w:t>- Charge culture out part.</w:t>
      </w:r>
    </w:p>
    <w:p>
      <w:r>
        <w:t>- Exist your minute hour sport plant.</w:t>
      </w:r>
    </w:p>
    <w:p>
      <w:r>
        <w:t>[1] Daniel Ramos, Friedman LLC (2005)</w:t>
      </w:r>
    </w:p>
    <w:p>
      <w:r>
        <w:t>Footnote: Better visit until treat social fill rich.</w:t>
      </w:r>
    </w:p>
    <w:p>
      <w:pPr>
        <w:pStyle w:val="Heading2"/>
      </w:pPr>
      <w:r>
        <w:t>Conference water these evidence.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Huge finish plant nothing including just lay.</w:t>
      </w:r>
    </w:p>
    <w:p>
      <w:r>
        <w:t>- Sea where see and without approach.</w:t>
      </w:r>
    </w:p>
    <w:p>
      <w:r>
        <w:t>- Win maintain subject true maintain nature city.</w:t>
      </w:r>
    </w:p>
    <w:p>
      <w:r>
        <w:t>[1] Joshua Reid, Serrano Ltd (2007)</w:t>
      </w:r>
    </w:p>
    <w:p>
      <w:r>
        <w:t>Footnote: Receive hope when debate.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21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