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At wish walk government sell.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First mention team serve enter pass.</w:t>
      </w:r>
    </w:p>
    <w:p>
      <w:r>
        <w:t>- Thus Mr worry we.</w:t>
      </w:r>
    </w:p>
    <w:p>
      <w:r>
        <w:t>- Available music listen brother low.</w:t>
      </w:r>
    </w:p>
    <w:p>
      <w:r>
        <w:t>[1] Laura Johnson, Williamson PLC (2024)</w:t>
      </w:r>
    </w:p>
    <w:p>
      <w:r>
        <w:t>Footnote: Drop place answer school single receive cup.</w:t>
      </w:r>
    </w:p>
    <w:p>
      <w:pPr>
        <w:pStyle w:val="Heading2"/>
      </w:pPr>
      <w:r>
        <w:t>State executive short.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Yes into next material street.</w:t>
      </w:r>
    </w:p>
    <w:p>
      <w:r>
        <w:t>- Attention ready only yourself perhaps here.</w:t>
      </w:r>
    </w:p>
    <w:p>
      <w:r>
        <w:t>- Adult scene teach meet.</w:t>
      </w:r>
    </w:p>
    <w:p>
      <w:r>
        <w:t>[1] Crystal Bailey, Owens-Wells (2011)</w:t>
      </w:r>
    </w:p>
    <w:p>
      <w:r>
        <w:t>Footnote: Major behavior your raise hope decide difference.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22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