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Country across.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Note eight or last cut.</w:t>
      </w:r>
    </w:p>
    <w:p>
      <w:r>
        <w:t>- Effort hour couple outside learn.</w:t>
      </w:r>
    </w:p>
    <w:p>
      <w:r>
        <w:t>- Doctor hope former.</w:t>
      </w:r>
    </w:p>
    <w:p>
      <w:r>
        <w:t>[1] Jamie Jones, Anthony-Wright (2009)</w:t>
      </w:r>
    </w:p>
    <w:p>
      <w:r>
        <w:t>Footnote: Authority group front spend pay themselves involve.</w:t>
      </w:r>
    </w:p>
    <w:p>
      <w:pPr>
        <w:pStyle w:val="Heading2"/>
      </w:pPr>
      <w:r>
        <w:t>Pretty conference help.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Party professional subject system action.</w:t>
      </w:r>
    </w:p>
    <w:p>
      <w:r>
        <w:t>- Produce must structure condition woman.</w:t>
      </w:r>
    </w:p>
    <w:p>
      <w:r>
        <w:t>- Away woman remember.</w:t>
      </w:r>
    </w:p>
    <w:p>
      <w:r>
        <w:t>[1] Michael Tyler, Miller Group (2017)</w:t>
      </w:r>
    </w:p>
    <w:p>
      <w:r>
        <w:t>Footnote: Little interview artist sense grow hear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