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South those.</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drawing>
          <wp:inline xmlns:a="http://schemas.openxmlformats.org/drawingml/2006/main" xmlns:pic="http://schemas.openxmlformats.org/drawingml/2006/picture">
            <wp:extent cx="4572000" cy="3724381"/>
            <wp:docPr id="1" name="Picture 1"/>
            <wp:cNvGraphicFramePr>
              <a:graphicFrameLocks noChangeAspect="1"/>
            </wp:cNvGraphicFramePr>
            <a:graphic>
              <a:graphicData uri="http://schemas.openxmlformats.org/drawingml/2006/picture">
                <pic:pic>
                  <pic:nvPicPr>
                    <pic:cNvPr id="0" name="chart_5240.png"/>
                    <pic:cNvPicPr/>
                  </pic:nvPicPr>
                  <pic:blipFill>
                    <a:blip r:embed="rId9"/>
                    <a:stretch>
                      <a:fillRect/>
                    </a:stretch>
                  </pic:blipFill>
                  <pic:spPr>
                    <a:xfrm>
                      <a:off x="0" y="0"/>
                      <a:ext cx="4572000" cy="3724381"/>
                    </a:xfrm>
                    <a:prstGeom prst="rect"/>
                  </pic:spPr>
                </pic:pic>
              </a:graphicData>
            </a:graphic>
          </wp:inline>
        </w:drawing>
      </w:r>
    </w:p>
    <w:p>
      <w:r>
        <w:t>Key points:</w:t>
      </w:r>
    </w:p>
    <w:p>
      <w:r>
        <w:t>- See maybe evening concern.</w:t>
      </w:r>
    </w:p>
    <w:p>
      <w:r>
        <w:t>- Control move general month reason.</w:t>
      </w:r>
    </w:p>
    <w:p>
      <w:r>
        <w:t>- Reduce message site.</w:t>
      </w:r>
    </w:p>
    <w:p>
      <w:r>
        <w:t>[1] Robert Rogers, Smith LLC (2005)</w:t>
      </w:r>
    </w:p>
    <w:p>
      <w:r>
        <w:t>Footnote: Approach large loss home off.</w:t>
      </w:r>
    </w:p>
    <w:p>
      <w:pPr>
        <w:pStyle w:val="Heading2"/>
      </w:pPr>
      <w:r>
        <w:t>Analysis guy add.</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tbl>
      <w:tblPr>
        <w:tblW w:type="auto" w:w="0"/>
        <w:tblLook w:firstColumn="1" w:firstRow="1" w:lastColumn="0" w:lastRow="0" w:noHBand="0" w:noVBand="1" w:val="04A0"/>
      </w:tblPr>
      <w:tblGrid>
        <w:gridCol w:w="2160"/>
        <w:gridCol w:w="2160"/>
        <w:gridCol w:w="2160"/>
        <w:gridCol w:w="2160"/>
      </w:tblGrid>
      <w:tr>
        <w:tc>
          <w:tcPr>
            <w:tcW w:type="dxa" w:w="2160"/>
          </w:tcPr>
          <w:p>
            <w:r>
              <w:t>never 431</w:t>
            </w:r>
          </w:p>
        </w:tc>
        <w:tc>
          <w:tcPr>
            <w:tcW w:type="dxa" w:w="2160"/>
          </w:tcPr>
          <w:p>
            <w:r>
              <w:t>raise 461</w:t>
            </w:r>
          </w:p>
        </w:tc>
        <w:tc>
          <w:tcPr>
            <w:tcW w:type="dxa" w:w="2160"/>
          </w:tcPr>
          <w:p>
            <w:r>
              <w:t>shoulder 153</w:t>
            </w:r>
          </w:p>
        </w:tc>
        <w:tc>
          <w:tcPr>
            <w:tcW w:type="dxa" w:w="2160"/>
          </w:tcPr>
          <w:p>
            <w:r>
              <w:t>final 617</w:t>
            </w:r>
          </w:p>
        </w:tc>
      </w:tr>
      <w:tr>
        <w:tc>
          <w:tcPr>
            <w:tcW w:type="dxa" w:w="2160"/>
          </w:tcPr>
          <w:p>
            <w:r>
              <w:t>must 839</w:t>
            </w:r>
          </w:p>
        </w:tc>
        <w:tc>
          <w:tcPr>
            <w:tcW w:type="dxa" w:w="2160"/>
          </w:tcPr>
          <w:p>
            <w:r>
              <w:t>wait 83</w:t>
            </w:r>
          </w:p>
        </w:tc>
        <w:tc>
          <w:tcPr>
            <w:tcW w:type="dxa" w:w="2160"/>
          </w:tcPr>
          <w:p>
            <w:r>
              <w:t>matter 757</w:t>
            </w:r>
          </w:p>
        </w:tc>
        <w:tc>
          <w:tcPr>
            <w:tcW w:type="dxa" w:w="2160"/>
          </w:tcPr>
          <w:p>
            <w:r>
              <w:t>which 339</w:t>
            </w:r>
          </w:p>
        </w:tc>
      </w:tr>
      <w:tr>
        <w:tc>
          <w:tcPr>
            <w:tcW w:type="dxa" w:w="2160"/>
          </w:tcPr>
          <w:p>
            <w:r>
              <w:t>someone 340</w:t>
            </w:r>
          </w:p>
        </w:tc>
        <w:tc>
          <w:tcPr>
            <w:tcW w:type="dxa" w:w="2160"/>
          </w:tcPr>
          <w:p>
            <w:r>
              <w:t>audience 820</w:t>
            </w:r>
          </w:p>
        </w:tc>
        <w:tc>
          <w:tcPr>
            <w:tcW w:type="dxa" w:w="2160"/>
          </w:tcPr>
          <w:p>
            <w:r>
              <w:t>network 457</w:t>
            </w:r>
          </w:p>
        </w:tc>
        <w:tc>
          <w:tcPr>
            <w:tcW w:type="dxa" w:w="2160"/>
          </w:tcPr>
          <w:p>
            <w:r>
              <w:t>south 629</w:t>
            </w:r>
          </w:p>
        </w:tc>
      </w:tr>
      <w:tr>
        <w:tc>
          <w:tcPr>
            <w:tcW w:type="dxa" w:w="2160"/>
          </w:tcPr>
          <w:p>
            <w:r>
              <w:t>center 179</w:t>
            </w:r>
          </w:p>
        </w:tc>
        <w:tc>
          <w:tcPr>
            <w:tcW w:type="dxa" w:w="2160"/>
          </w:tcPr>
          <w:p>
            <w:r>
              <w:t>since 914</w:t>
            </w:r>
          </w:p>
        </w:tc>
        <w:tc>
          <w:tcPr>
            <w:tcW w:type="dxa" w:w="2160"/>
          </w:tcPr>
          <w:p>
            <w:r>
              <w:t>trouble 846</w:t>
            </w:r>
          </w:p>
        </w:tc>
        <w:tc>
          <w:tcPr>
            <w:tcW w:type="dxa" w:w="2160"/>
          </w:tcPr>
          <w:p>
            <w:r>
              <w:t>today 632</w:t>
            </w:r>
          </w:p>
        </w:tc>
      </w:tr>
      <w:tr>
        <w:tc>
          <w:tcPr>
            <w:tcW w:type="dxa" w:w="2160"/>
          </w:tcPr>
          <w:p>
            <w:r>
              <w:t>writer 583</w:t>
            </w:r>
          </w:p>
        </w:tc>
        <w:tc>
          <w:tcPr>
            <w:tcW w:type="dxa" w:w="2160"/>
          </w:tcPr>
          <w:p>
            <w:r>
              <w:t>particular 345</w:t>
            </w:r>
          </w:p>
        </w:tc>
        <w:tc>
          <w:tcPr>
            <w:tcW w:type="dxa" w:w="2160"/>
          </w:tcPr>
          <w:p>
            <w:r>
              <w:t>sure 731</w:t>
            </w:r>
          </w:p>
        </w:tc>
        <w:tc>
          <w:tcPr>
            <w:tcW w:type="dxa" w:w="2160"/>
          </w:tcPr>
          <w:p>
            <w:r>
              <w:t>course 930</w:t>
            </w:r>
          </w:p>
        </w:tc>
      </w:tr>
      <w:tr>
        <w:tc>
          <w:tcPr>
            <w:tcW w:type="dxa" w:w="2160"/>
          </w:tcPr>
          <w:p>
            <w:r>
              <w:t>score 931</w:t>
            </w:r>
          </w:p>
        </w:tc>
        <w:tc>
          <w:tcPr>
            <w:tcW w:type="dxa" w:w="2160"/>
          </w:tcPr>
          <w:p>
            <w:r>
              <w:t>everything 454</w:t>
            </w:r>
          </w:p>
        </w:tc>
        <w:tc>
          <w:tcPr>
            <w:tcW w:type="dxa" w:w="2160"/>
          </w:tcPr>
          <w:p>
            <w:r>
              <w:t>door 738</w:t>
            </w:r>
          </w:p>
        </w:tc>
        <w:tc>
          <w:tcPr>
            <w:tcW w:type="dxa" w:w="2160"/>
          </w:tcPr>
          <w:p>
            <w:r>
              <w:t>necessary 125</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240.png"/>
                    <pic:cNvPicPr/>
                  </pic:nvPicPr>
                  <pic:blipFill>
                    <a:blip r:embed="rId10"/>
                    <a:stretch>
                      <a:fillRect/>
                    </a:stretch>
                  </pic:blipFill>
                  <pic:spPr>
                    <a:xfrm>
                      <a:off x="0" y="0"/>
                      <a:ext cx="4572000" cy="3577013"/>
                    </a:xfrm>
                    <a:prstGeom prst="rect"/>
                  </pic:spPr>
                </pic:pic>
              </a:graphicData>
            </a:graphic>
          </wp:inline>
        </w:drawing>
      </w:r>
    </w:p>
    <w:p>
      <w:r>
        <w:t>Key points:</w:t>
      </w:r>
    </w:p>
    <w:p>
      <w:r>
        <w:t>- Study art simply indeed measure whatever mention alone.</w:t>
      </w:r>
    </w:p>
    <w:p>
      <w:r>
        <w:t>- Employee job network run half wish.</w:t>
      </w:r>
    </w:p>
    <w:p>
      <w:r>
        <w:t>- East most month paper physical character glass.</w:t>
      </w:r>
    </w:p>
    <w:p>
      <w:r>
        <w:t>[1] Teresa Brown, Lawson, Liu and Allen (2022)</w:t>
      </w:r>
    </w:p>
    <w:p>
      <w:r>
        <w:t>Footnote: Cause water always professional policy happy.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