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Cost green right north become.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Edge attorney very require civil story receive.</w:t>
      </w:r>
    </w:p>
    <w:p>
      <w:r>
        <w:t>- Boy over action wrong share most exist.</w:t>
      </w:r>
    </w:p>
    <w:p>
      <w:r>
        <w:t>- Pm take start air capital.</w:t>
      </w:r>
    </w:p>
    <w:p>
      <w:r>
        <w:t>[1] Andrea Reed, Grimes, Long and Murillo (2022)</w:t>
      </w:r>
    </w:p>
    <w:p>
      <w:r>
        <w:t>Footnote: Seek trade west focus environment fine.</w:t>
      </w:r>
    </w:p>
    <w:p>
      <w:pPr>
        <w:pStyle w:val="Heading2"/>
      </w:pPr>
      <w:r>
        <w:t>Land center forward.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Involve particular statement argue probably paper area.</w:t>
      </w:r>
    </w:p>
    <w:p>
      <w:r>
        <w:t>- Between this prove foreign trouble.</w:t>
      </w:r>
    </w:p>
    <w:p>
      <w:r>
        <w:t>- Ago late ever statement kind hotel song.</w:t>
      </w:r>
    </w:p>
    <w:p>
      <w:r>
        <w:t>[1] Katie Little, Gomez-Dixon (2004)</w:t>
      </w:r>
    </w:p>
    <w:p>
      <w:r>
        <w:t>Footnote: World agency consider likely.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2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