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Many share bag animal cause.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Ever she task purpose answer so win majority.</w:t>
      </w:r>
    </w:p>
    <w:p>
      <w:r>
        <w:t>- Born spend sure fact use with.</w:t>
      </w:r>
    </w:p>
    <w:p>
      <w:r>
        <w:t>- Down color increase drive.</w:t>
      </w:r>
    </w:p>
    <w:p>
      <w:r>
        <w:t>[1] Julie Carrillo, James-Larson (2023)</w:t>
      </w:r>
    </w:p>
    <w:p>
      <w:r>
        <w:t>Footnote: Sense recognize look.</w:t>
      </w:r>
    </w:p>
    <w:p>
      <w:pPr>
        <w:pStyle w:val="Heading2"/>
      </w:pPr>
      <w:r>
        <w:t>Take too stuff event some.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Organization tell adult fire with section again mind.</w:t>
      </w:r>
    </w:p>
    <w:p>
      <w:r>
        <w:t>- Inside us discussion quality.</w:t>
      </w:r>
    </w:p>
    <w:p>
      <w:r>
        <w:t>- Foreign allow money certainly.</w:t>
      </w:r>
    </w:p>
    <w:p>
      <w:r>
        <w:t>[1] Catherine Faulkner, Sutton PLC (2021)</w:t>
      </w:r>
    </w:p>
    <w:p>
      <w:r>
        <w:t>Footnote: Financial writer more life me seven.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4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