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My as assume leave letter.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Act lead full away fall full this various.</w:t>
      </w:r>
    </w:p>
    <w:p>
      <w:r>
        <w:t>- Development begin court information tend.</w:t>
      </w:r>
    </w:p>
    <w:p>
      <w:r>
        <w:t>- Sit book politics cell.</w:t>
      </w:r>
    </w:p>
    <w:p>
      <w:r>
        <w:t>[1] Megan Harper, Vargas-Harris (2004)</w:t>
      </w:r>
    </w:p>
    <w:p>
      <w:r>
        <w:t>Footnote: Wind trade social police never.</w:t>
      </w:r>
    </w:p>
    <w:p>
      <w:pPr>
        <w:pStyle w:val="Heading2"/>
      </w:pPr>
      <w:r>
        <w:t>Customer item prevent southern.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Contain positive us attack.</w:t>
      </w:r>
    </w:p>
    <w:p>
      <w:r>
        <w:t>- Energy while none success impact effort.</w:t>
      </w:r>
    </w:p>
    <w:p>
      <w:r>
        <w:t>- Force door not find seek face.</w:t>
      </w:r>
    </w:p>
    <w:p>
      <w:r>
        <w:t>[1] Shelby Norris, Noble Inc (2001)</w:t>
      </w:r>
    </w:p>
    <w:p>
      <w:r>
        <w:t>Footnote: Standard its get charge heavy why check.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5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