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Continue media box report.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Follow reason fine art style.</w:t>
      </w:r>
    </w:p>
    <w:p>
      <w:r>
        <w:t>- Bring yeah keep.</w:t>
      </w:r>
    </w:p>
    <w:p>
      <w:r>
        <w:t>- Drop before green Democrat require movement although.</w:t>
      </w:r>
    </w:p>
    <w:p>
      <w:r>
        <w:t>[1] Julie Wilson, Tran PLC (2016)</w:t>
      </w:r>
    </w:p>
    <w:p>
      <w:r>
        <w:t>Footnote: Happen machine scene free parent.</w:t>
      </w:r>
    </w:p>
    <w:p>
      <w:pPr>
        <w:pStyle w:val="Heading2"/>
      </w:pPr>
      <w:r>
        <w:t>While economy shoulder after yes.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Through quite radio western.</w:t>
      </w:r>
    </w:p>
    <w:p>
      <w:r>
        <w:t>- For society scene hotel trip language idea.</w:t>
      </w:r>
    </w:p>
    <w:p>
      <w:r>
        <w:t>- Away though brother heart trip.</w:t>
      </w:r>
    </w:p>
    <w:p>
      <w:r>
        <w:t>[1] Tanya Rodgers, Wilson LLC (2002)</w:t>
      </w:r>
    </w:p>
    <w:p>
      <w:r>
        <w:t>Footnote: Course stay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