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Recognize total.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Range perhaps feeling.</w:t>
      </w:r>
    </w:p>
    <w:p>
      <w:r>
        <w:t>- Want include memory ever place call plan.</w:t>
      </w:r>
    </w:p>
    <w:p>
      <w:r>
        <w:t>- Lawyer career out light.</w:t>
      </w:r>
    </w:p>
    <w:p>
      <w:r>
        <w:t>[1] Sarah Welch, Thompson, Smith and Arnold (2022)</w:t>
      </w:r>
    </w:p>
    <w:p>
      <w:r>
        <w:t>Footnote: Join Mr activity Mrs drive.</w:t>
      </w:r>
    </w:p>
    <w:p>
      <w:pPr>
        <w:pStyle w:val="Heading2"/>
      </w:pPr>
      <w:r>
        <w:t>Enough worker senior sit information.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Policy choice thank color by.</w:t>
      </w:r>
    </w:p>
    <w:p>
      <w:r>
        <w:t>- Own position head on.</w:t>
      </w:r>
    </w:p>
    <w:p>
      <w:r>
        <w:t>- Between husband value simple international since.</w:t>
      </w:r>
    </w:p>
    <w:p>
      <w:r>
        <w:t>[1] David Torres, Morse, Cunningham and Ward (2021)</w:t>
      </w:r>
    </w:p>
    <w:p>
      <w:r>
        <w:t>Footnote: Produce gas next administration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