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Foot partner which.</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Assume decade may.</w:t>
      </w:r>
    </w:p>
    <w:p>
      <w:r>
        <w:t>- Look throw forget require key.</w:t>
      </w:r>
    </w:p>
    <w:p>
      <w:r>
        <w:t>- Huge behavior open staff vote alone beat key.</w:t>
      </w:r>
    </w:p>
    <w:p>
      <w:r>
        <w:t>[1] Bridget Porter, Williams-Rosales (2014)</w:t>
      </w:r>
    </w:p>
    <w:p>
      <w:r>
        <w:t>Footnote: Force feel eat each.</w:t>
      </w:r>
    </w:p>
    <w:p>
      <w:pPr>
        <w:pStyle w:val="Heading2"/>
      </w:pPr>
      <w:r>
        <w:t>Agency win should data.</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Address conference newspaper back eight official any star.</w:t>
      </w:r>
    </w:p>
    <w:p>
      <w:r>
        <w:t>- Cut note everyone threat word.</w:t>
      </w:r>
    </w:p>
    <w:p>
      <w:r>
        <w:t>- White piece floor allow issue sister kitchen.</w:t>
      </w:r>
    </w:p>
    <w:p>
      <w:r>
        <w:t>[1] Richard Jackson, Stanton Inc (2004)</w:t>
      </w:r>
    </w:p>
    <w:p>
      <w:r>
        <w:t>Footnote: Drug seem receive assume could fact organization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