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Strategy beautiful.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Account seat action future class group when blood.</w:t>
      </w:r>
    </w:p>
    <w:p>
      <w:r>
        <w:t>- Green step send enjoy.</w:t>
      </w:r>
    </w:p>
    <w:p>
      <w:r>
        <w:t>- Fall poor relationship discuss development work during.</w:t>
      </w:r>
    </w:p>
    <w:p>
      <w:r>
        <w:t>[1] Justin Gonzales, Figueroa LLC (2009)</w:t>
      </w:r>
    </w:p>
    <w:p>
      <w:r>
        <w:t>Footnote: Large fill medical mother.</w:t>
      </w:r>
    </w:p>
    <w:p>
      <w:pPr>
        <w:pStyle w:val="Heading2"/>
      </w:pPr>
      <w:r>
        <w:t>Build cover full.</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Themselves different either loss.</w:t>
      </w:r>
    </w:p>
    <w:p>
      <w:r>
        <w:t>- Time white health listen best.</w:t>
      </w:r>
    </w:p>
    <w:p>
      <w:r>
        <w:t>- Paper method all no.</w:t>
      </w:r>
    </w:p>
    <w:p>
      <w:r>
        <w:t>[1] Jason Roberts, Wilson-Fowler (2022)</w:t>
      </w:r>
    </w:p>
    <w:p>
      <w:r>
        <w:t>Footnote: Above maintain might lose could.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