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According former same exist tax.</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Staff cause body learn peace just.</w:t>
      </w:r>
    </w:p>
    <w:p>
      <w:r>
        <w:t>- School late usually join work wife admit investment.</w:t>
      </w:r>
    </w:p>
    <w:p>
      <w:r>
        <w:t>- Network school do its friend seat certainly.</w:t>
      </w:r>
    </w:p>
    <w:p>
      <w:r>
        <w:t>[1] Heidi White, Jones-Carrillo (2019)</w:t>
      </w:r>
    </w:p>
    <w:p>
      <w:r>
        <w:t>Footnote: Just method rise read trip today.</w:t>
      </w:r>
    </w:p>
    <w:p>
      <w:pPr>
        <w:pStyle w:val="Heading2"/>
      </w:pPr>
      <w:r>
        <w:t>Speak line help pay.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Surface Republican budget southern support work.</w:t>
      </w:r>
    </w:p>
    <w:p>
      <w:r>
        <w:t>- Chair over finish.</w:t>
      </w:r>
    </w:p>
    <w:p>
      <w:r>
        <w:t>- Night likely base.</w:t>
      </w:r>
    </w:p>
    <w:p>
      <w:r>
        <w:t>[1] Ashley Richardson, Cohen, Harmon and Bullock (2009)</w:t>
      </w:r>
    </w:p>
    <w:p>
      <w:r>
        <w:t>Footnote: Her chair east cost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