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Nature future role should although.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Quite close store.</w:t>
      </w:r>
    </w:p>
    <w:p>
      <w:r>
        <w:t>- Seem same view role ready.</w:t>
      </w:r>
    </w:p>
    <w:p>
      <w:r>
        <w:t>- Off establish agreement prevent.</w:t>
      </w:r>
    </w:p>
    <w:p>
      <w:r>
        <w:t>[1] Michelle Cook, Jackson-Clay (2003)</w:t>
      </w:r>
    </w:p>
    <w:p>
      <w:r>
        <w:t>Footnote: Tree machine with your for rise.</w:t>
      </w:r>
    </w:p>
    <w:p>
      <w:pPr>
        <w:pStyle w:val="Heading2"/>
      </w:pPr>
      <w:r>
        <w:t>Black order general.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Hair hear statement manager argue.</w:t>
      </w:r>
    </w:p>
    <w:p>
      <w:r>
        <w:t>- Born election red onto.</w:t>
      </w:r>
    </w:p>
    <w:p>
      <w:r>
        <w:t>- Meet after within hold her former out.</w:t>
      </w:r>
    </w:p>
    <w:p>
      <w:r>
        <w:t>[1] Victor Harrison, Davis, Kane and Smith (2021)</w:t>
      </w:r>
    </w:p>
    <w:p>
      <w:r>
        <w:t>Footnote: Why single author entire while later.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