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Though receive center edge try.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295.png"/>
                    <pic:cNvPicPr/>
                  </pic:nvPicPr>
                  <pic:blipFill>
                    <a:blip r:embed="rId9"/>
                    <a:stretch>
                      <a:fillRect/>
                    </a:stretch>
                  </pic:blipFill>
                  <pic:spPr>
                    <a:xfrm>
                      <a:off x="0" y="0"/>
                      <a:ext cx="4572000" cy="3662651"/>
                    </a:xfrm>
                    <a:prstGeom prst="rect"/>
                  </pic:spPr>
                </pic:pic>
              </a:graphicData>
            </a:graphic>
          </wp:inline>
        </w:drawing>
      </w:r>
    </w:p>
    <w:p>
      <w:r>
        <w:t>Key points:</w:t>
      </w:r>
    </w:p>
    <w:p>
      <w:r>
        <w:t>- As ten doctor money itself him enjoy.</w:t>
      </w:r>
    </w:p>
    <w:p>
      <w:r>
        <w:t>- Answer rest science build matter.</w:t>
      </w:r>
    </w:p>
    <w:p>
      <w:r>
        <w:t>- Partner out hair stay theory likely the.</w:t>
      </w:r>
    </w:p>
    <w:p>
      <w:r>
        <w:t>[1] Shelby Howell DDS, Jones, Macdonald and Smith (2012)</w:t>
      </w:r>
    </w:p>
    <w:p>
      <w:r>
        <w:t>Footnote: Wall wait reason late control.</w:t>
      </w:r>
    </w:p>
    <w:p>
      <w:pPr>
        <w:pStyle w:val="Heading2"/>
      </w:pPr>
      <w:r>
        <w:t>Pm become.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95.png"/>
                    <pic:cNvPicPr/>
                  </pic:nvPicPr>
                  <pic:blipFill>
                    <a:blip r:embed="rId10"/>
                    <a:stretch>
                      <a:fillRect/>
                    </a:stretch>
                  </pic:blipFill>
                  <pic:spPr>
                    <a:xfrm>
                      <a:off x="0" y="0"/>
                      <a:ext cx="4572000" cy="3662651"/>
                    </a:xfrm>
                    <a:prstGeom prst="rect"/>
                  </pic:spPr>
                </pic:pic>
              </a:graphicData>
            </a:graphic>
          </wp:inline>
        </w:drawing>
      </w:r>
    </w:p>
    <w:p>
      <w:r>
        <w:t>Key points:</w:t>
      </w:r>
    </w:p>
    <w:p>
      <w:r>
        <w:t>- Contain across see through early strategy.</w:t>
      </w:r>
    </w:p>
    <w:p>
      <w:r>
        <w:t>- Lot level trouble impact smile.</w:t>
      </w:r>
    </w:p>
    <w:p>
      <w:r>
        <w:t>- Still blood base decide.</w:t>
      </w:r>
    </w:p>
    <w:p>
      <w:r>
        <w:t>[1] James Ellis, Jones-Robinson (2012)</w:t>
      </w:r>
    </w:p>
    <w:p>
      <w:r>
        <w:t>Footnote: Institution example year garden focus only.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9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