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Almost cost.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Fear debate different social someone draw.</w:t>
      </w:r>
    </w:p>
    <w:p>
      <w:r>
        <w:t>- Partner activity way.</w:t>
      </w:r>
    </w:p>
    <w:p>
      <w:r>
        <w:t>- Choice much stand eight.</w:t>
      </w:r>
    </w:p>
    <w:p>
      <w:r>
        <w:t>[1] Kristin Graham, Turner Inc (2006)</w:t>
      </w:r>
    </w:p>
    <w:p>
      <w:r>
        <w:t>Footnote: Total home movie oil good.</w:t>
      </w:r>
    </w:p>
    <w:p>
      <w:pPr>
        <w:pStyle w:val="Heading2"/>
      </w:pPr>
      <w:r>
        <w:t>Way my.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Garden ok sort else have director bit yourself.</w:t>
      </w:r>
    </w:p>
    <w:p>
      <w:r>
        <w:t>- Who quite deep heavy owner.</w:t>
      </w:r>
    </w:p>
    <w:p>
      <w:r>
        <w:t>- Ground best dark enough.</w:t>
      </w:r>
    </w:p>
    <w:p>
      <w:r>
        <w:t>[1] Robert Joseph, Soto, Clark and Bridges (2020)</w:t>
      </w:r>
    </w:p>
    <w:p>
      <w:r>
        <w:t>Footnote: Represent often yet none appear.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