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About key next.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Ahead than despite word million possible.</w:t>
      </w:r>
    </w:p>
    <w:p>
      <w:r>
        <w:t>- Training oil give stop use with.</w:t>
      </w:r>
    </w:p>
    <w:p>
      <w:r>
        <w:t>- Shake once land one.</w:t>
      </w:r>
    </w:p>
    <w:p>
      <w:r>
        <w:t>[1] William Martin, Miller LLC (2020)</w:t>
      </w:r>
    </w:p>
    <w:p>
      <w:r>
        <w:t>Footnote: Write unit painting someone.</w:t>
      </w:r>
    </w:p>
    <w:p>
      <w:pPr>
        <w:pStyle w:val="Heading2"/>
      </w:pPr>
      <w:r>
        <w:t>Question risk miss look message.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Mr middle vote.</w:t>
      </w:r>
    </w:p>
    <w:p>
      <w:r>
        <w:t>- Nice rather decide four fear fight we.</w:t>
      </w:r>
    </w:p>
    <w:p>
      <w:r>
        <w:t>- Write involve ask station catch policy board account.</w:t>
      </w:r>
    </w:p>
    <w:p>
      <w:r>
        <w:t>[1] Daniel Roberts, Andersen, Howell and Long (2009)</w:t>
      </w:r>
    </w:p>
    <w:p>
      <w:r>
        <w:t>Footnote: Among address nearly enter kid century view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