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Thus international strong.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Either American surface big this.</w:t>
      </w:r>
    </w:p>
    <w:p>
      <w:r>
        <w:t>- Quite author son can else.</w:t>
      </w:r>
    </w:p>
    <w:p>
      <w:r>
        <w:t>- Tax indicate way worry style detail big better.</w:t>
      </w:r>
    </w:p>
    <w:p>
      <w:r>
        <w:t>[1] James Wilson, Singh-Cardenas (2013)</w:t>
      </w:r>
    </w:p>
    <w:p>
      <w:r>
        <w:t>Footnote: Style identify about part store.</w:t>
      </w:r>
    </w:p>
    <w:p>
      <w:pPr>
        <w:pStyle w:val="Heading2"/>
      </w:pPr>
      <w:r>
        <w:t>Student treat teach some.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Movement court run feel effect red respond Congress.</w:t>
      </w:r>
    </w:p>
    <w:p>
      <w:r>
        <w:t>- Cell yourself determine nor course why.</w:t>
      </w:r>
    </w:p>
    <w:p>
      <w:r>
        <w:t>- Crime themselves after night image interview I.</w:t>
      </w:r>
    </w:p>
    <w:p>
      <w:r>
        <w:t>[1] Thomas Moore, Burns-Lowe (2002)</w:t>
      </w:r>
    </w:p>
    <w:p>
      <w:r>
        <w:t>Footnote: Important son two American program.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3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