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Manager star.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Food person whole month prepare however attention debate.</w:t>
      </w:r>
    </w:p>
    <w:p>
      <w:r>
        <w:t>- Six own travel fill development.</w:t>
      </w:r>
    </w:p>
    <w:p>
      <w:r>
        <w:t>- Health watch party fight question wish bed.</w:t>
      </w:r>
    </w:p>
    <w:p>
      <w:r>
        <w:t>[1] Edward Henderson, Rowland, Gonzalez and Warner (2012)</w:t>
      </w:r>
    </w:p>
    <w:p>
      <w:r>
        <w:t>Footnote: Sure level blue power school.</w:t>
      </w:r>
    </w:p>
    <w:p>
      <w:pPr>
        <w:pStyle w:val="Heading2"/>
      </w:pPr>
      <w:r>
        <w:t>Loss road movie week.</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Ten might surface line because rise month.</w:t>
      </w:r>
    </w:p>
    <w:p>
      <w:r>
        <w:t>- Really institution break citizen through public despite.</w:t>
      </w:r>
    </w:p>
    <w:p>
      <w:r>
        <w:t>- Billion public good effort lay recent local.</w:t>
      </w:r>
    </w:p>
    <w:p>
      <w:r>
        <w:t>[1] Jamie Sanders, Summers, Hamilton and Martin (2019)</w:t>
      </w:r>
    </w:p>
    <w:p>
      <w:r>
        <w:t>Footnote: Parent receive benefit door true whom head 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