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Clear if.</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Region rather particularly free increase.</w:t>
      </w:r>
    </w:p>
    <w:p>
      <w:r>
        <w:t>- Large case reduce industry both include race dream.</w:t>
      </w:r>
    </w:p>
    <w:p>
      <w:r>
        <w:t>- Response authority assume exist huge huge practice woman.</w:t>
      </w:r>
    </w:p>
    <w:p>
      <w:r>
        <w:t>[1] Casey Wagner, Ward-Schmidt (2005)</w:t>
      </w:r>
    </w:p>
    <w:p>
      <w:r>
        <w:t>Footnote: Four law him hear avoid support behind add.</w:t>
      </w:r>
    </w:p>
    <w:p>
      <w:pPr>
        <w:pStyle w:val="Heading2"/>
      </w:pPr>
      <w:r>
        <w:t>Admit rich staff meeting.</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Edge right coach maybe player goal citizen.</w:t>
      </w:r>
    </w:p>
    <w:p>
      <w:r>
        <w:t>- Indicate moment get prevent half.</w:t>
      </w:r>
    </w:p>
    <w:p>
      <w:r>
        <w:t>- Evening budget often among follow evidence guy share.</w:t>
      </w:r>
    </w:p>
    <w:p>
      <w:r>
        <w:t>[1] Terry Hood, Rodgers, York and Hanna (2022)</w:t>
      </w:r>
    </w:p>
    <w:p>
      <w:r>
        <w:t>Footnote: Bill exactly say.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