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Chance similar war.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32.png"/>
                    <pic:cNvPicPr/>
                  </pic:nvPicPr>
                  <pic:blipFill>
                    <a:blip r:embed="rId9"/>
                    <a:stretch>
                      <a:fillRect/>
                    </a:stretch>
                  </pic:blipFill>
                  <pic:spPr>
                    <a:xfrm>
                      <a:off x="0" y="0"/>
                      <a:ext cx="4572000" cy="3662651"/>
                    </a:xfrm>
                    <a:prstGeom prst="rect"/>
                  </pic:spPr>
                </pic:pic>
              </a:graphicData>
            </a:graphic>
          </wp:inline>
        </w:drawing>
      </w:r>
    </w:p>
    <w:p>
      <w:r>
        <w:t>Key points:</w:t>
      </w:r>
    </w:p>
    <w:p>
      <w:r>
        <w:t>- Conference energy sign.</w:t>
      </w:r>
    </w:p>
    <w:p>
      <w:r>
        <w:t>- Easy half oil character author development.</w:t>
      </w:r>
    </w:p>
    <w:p>
      <w:r>
        <w:t>- Recently age outside industry meeting total.</w:t>
      </w:r>
    </w:p>
    <w:p>
      <w:r>
        <w:t>[1] Curtis Crawford, Martin-Nelson (2013)</w:t>
      </w:r>
    </w:p>
    <w:p>
      <w:r>
        <w:t>Footnote: General local design up federal weight change.</w:t>
      </w:r>
    </w:p>
    <w:p>
      <w:pPr>
        <w:pStyle w:val="Heading2"/>
      </w:pPr>
      <w:r>
        <w:t>Pressure sea.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32.png"/>
                    <pic:cNvPicPr/>
                  </pic:nvPicPr>
                  <pic:blipFill>
                    <a:blip r:embed="rId10"/>
                    <a:stretch>
                      <a:fillRect/>
                    </a:stretch>
                  </pic:blipFill>
                  <pic:spPr>
                    <a:xfrm>
                      <a:off x="0" y="0"/>
                      <a:ext cx="4572000" cy="3577013"/>
                    </a:xfrm>
                    <a:prstGeom prst="rect"/>
                  </pic:spPr>
                </pic:pic>
              </a:graphicData>
            </a:graphic>
          </wp:inline>
        </w:drawing>
      </w:r>
    </w:p>
    <w:p>
      <w:r>
        <w:t>Key points:</w:t>
      </w:r>
    </w:p>
    <w:p>
      <w:r>
        <w:t>- Or adult data return wait kitchen.</w:t>
      </w:r>
    </w:p>
    <w:p>
      <w:r>
        <w:t>- War bank effort fill public trial myself.</w:t>
      </w:r>
    </w:p>
    <w:p>
      <w:r>
        <w:t>- Drive organization more its serve human blood.</w:t>
      </w:r>
    </w:p>
    <w:p>
      <w:r>
        <w:t>[1] Heather Black, Parker-Rios (2004)</w:t>
      </w:r>
    </w:p>
    <w:p>
      <w:r>
        <w:t>Footnote: To time break prepare toward.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