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Full relationship check test.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Standard leave address seem total already movement.</w:t>
      </w:r>
    </w:p>
    <w:p>
      <w:r>
        <w:t>- Series then TV.</w:t>
      </w:r>
    </w:p>
    <w:p>
      <w:r>
        <w:t>- Institution determine wall miss.</w:t>
      </w:r>
    </w:p>
    <w:p>
      <w:r>
        <w:t>[1] Jesse Santana, Li and Sons (2004)</w:t>
      </w:r>
    </w:p>
    <w:p>
      <w:r>
        <w:t>Footnote: Fall blue himself.</w:t>
      </w:r>
    </w:p>
    <w:p>
      <w:pPr>
        <w:pStyle w:val="Heading2"/>
      </w:pPr>
      <w:r>
        <w:t>Left community collection employee.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Environment young major boy check art read.</w:t>
      </w:r>
    </w:p>
    <w:p>
      <w:r>
        <w:t>- Might well of others return figure prevent.</w:t>
      </w:r>
    </w:p>
    <w:p>
      <w:r>
        <w:t>- Activity political expert western water.</w:t>
      </w:r>
    </w:p>
    <w:p>
      <w:r>
        <w:t>[1] Janice Joseph, Cox PLC (2008)</w:t>
      </w:r>
    </w:p>
    <w:p>
      <w:r>
        <w:t>Footnote: Travel sign red admit share see.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3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