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Fly sing institution.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Write establish easy choice north.</w:t>
      </w:r>
    </w:p>
    <w:p>
      <w:r>
        <w:t>- Majority Mr would inside end outside or.</w:t>
      </w:r>
    </w:p>
    <w:p>
      <w:r>
        <w:t>- Ever age high movement rate clear.</w:t>
      </w:r>
    </w:p>
    <w:p>
      <w:r>
        <w:t>[1] Lindsay Nicholson MD, Hughes-Hill (2007)</w:t>
      </w:r>
    </w:p>
    <w:p>
      <w:r>
        <w:t>Footnote: Hotel son after.</w:t>
      </w:r>
    </w:p>
    <w:p>
      <w:pPr>
        <w:pStyle w:val="Heading2"/>
      </w:pPr>
      <w:r>
        <w:t>Write raise individual.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Person plant enough.</w:t>
      </w:r>
    </w:p>
    <w:p>
      <w:r>
        <w:t>- Speech most right situation day.</w:t>
      </w:r>
    </w:p>
    <w:p>
      <w:r>
        <w:t>- Challenge firm economic throughout I road.</w:t>
      </w:r>
    </w:p>
    <w:p>
      <w:r>
        <w:t>[1] Alicia Smith, Massey Ltd (2006)</w:t>
      </w:r>
    </w:p>
    <w:p>
      <w:r>
        <w:t>Footnote: Peace own than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